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2DA7F733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80375D" w:rsidRPr="0080375D">
        <w:t>008-03/24-010/001</w:t>
      </w:r>
    </w:p>
    <w:p w14:paraId="66243A93" w14:textId="519E7339" w:rsidR="00172C9A" w:rsidRDefault="00172C9A" w:rsidP="00172C9A">
      <w:pPr>
        <w:pStyle w:val="NoSpacing"/>
      </w:pPr>
      <w:r>
        <w:t xml:space="preserve">URBROJ: </w:t>
      </w:r>
      <w:r w:rsidR="0080375D" w:rsidRPr="0080375D">
        <w:t>3801-10-010-02-24-9</w:t>
      </w:r>
    </w:p>
    <w:p w14:paraId="16E7FEB6" w14:textId="77777777" w:rsidR="00172C9A" w:rsidRDefault="00172C9A" w:rsidP="00172C9A">
      <w:pPr>
        <w:pStyle w:val="NoSpacing"/>
      </w:pPr>
      <w:r>
        <w:t>Zagreb, 26. veljače 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19E45745" w14:textId="5CC9CE5F" w:rsidR="00172C9A" w:rsidRPr="00D473C9" w:rsidRDefault="00172C9A" w:rsidP="00172C9A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 xml:space="preserve">Međunarodni tjedan otvorenog obrazovanja </w:t>
      </w:r>
      <w:r>
        <w:rPr>
          <w:i/>
          <w:sz w:val="24"/>
          <w:szCs w:val="32"/>
        </w:rPr>
        <w:t xml:space="preserve"> </w:t>
      </w:r>
      <w:r>
        <w:rPr>
          <w:i/>
          <w:sz w:val="24"/>
          <w:szCs w:val="32"/>
        </w:rPr>
        <w:br/>
        <w:t>P</w:t>
      </w:r>
      <w:r w:rsidR="008A12B0">
        <w:rPr>
          <w:i/>
          <w:sz w:val="24"/>
          <w:szCs w:val="32"/>
        </w:rPr>
        <w:t xml:space="preserve">anel: Mogu li otvoreni obrazovni sadržaji unaprijediti kvalitetu nastave?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32DDF05F" w14:textId="77777777" w:rsidR="00DF3CB3" w:rsidRDefault="00172C9A" w:rsidP="00172C9A">
      <w:pPr>
        <w:spacing w:before="240" w:after="120"/>
      </w:pPr>
      <w:r w:rsidRPr="00FA79EF">
        <w:rPr>
          <w:i/>
        </w:rPr>
        <w:t xml:space="preserve">(Zagreb, </w:t>
      </w:r>
      <w:r w:rsidR="008A12B0">
        <w:rPr>
          <w:i/>
        </w:rPr>
        <w:t>26</w:t>
      </w:r>
      <w:r>
        <w:rPr>
          <w:i/>
        </w:rPr>
        <w:t xml:space="preserve">. </w:t>
      </w:r>
      <w:r w:rsidR="008A12B0">
        <w:rPr>
          <w:i/>
        </w:rPr>
        <w:t>veljače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8A12B0">
        <w:rPr>
          <w:i/>
        </w:rPr>
        <w:t>4</w:t>
      </w:r>
      <w:r w:rsidRPr="00FA79EF">
        <w:rPr>
          <w:i/>
        </w:rPr>
        <w:t>.)</w:t>
      </w:r>
      <w:r w:rsidRPr="0087745E">
        <w:t xml:space="preserve"> </w:t>
      </w:r>
      <w:r>
        <w:t xml:space="preserve">Sveučilišni </w:t>
      </w:r>
      <w:r w:rsidR="008A12B0">
        <w:t xml:space="preserve">računski centar Sveučilišta u Zagrebu (Srce) i ove godine sudjeluje u obilježavanju međunarodnog Tjedna otvorenog obrazovanja </w:t>
      </w:r>
      <w:r w:rsidR="00DF3CB3">
        <w:t xml:space="preserve">organizacijom panela pod nazivom </w:t>
      </w:r>
      <w:r w:rsidR="00DF3CB3" w:rsidRPr="00094D85">
        <w:rPr>
          <w:b/>
        </w:rPr>
        <w:t>„Mogu li otvoreni obrazovni sadržaji unaprijediti kvalitetu nastave?“</w:t>
      </w:r>
      <w:r w:rsidR="00DF3CB3">
        <w:t xml:space="preserve"> koji će se održati u </w:t>
      </w:r>
      <w:r w:rsidR="00DF3CB3" w:rsidRPr="00094D85">
        <w:rPr>
          <w:b/>
        </w:rPr>
        <w:t>srijedu 6. ožujka 2024</w:t>
      </w:r>
      <w:r w:rsidR="00DF3CB3">
        <w:t xml:space="preserve">. u Srcu, Josipa </w:t>
      </w:r>
      <w:proofErr w:type="spellStart"/>
      <w:r w:rsidR="00DF3CB3">
        <w:t>Marohnića</w:t>
      </w:r>
      <w:proofErr w:type="spellEnd"/>
      <w:r w:rsidR="00DF3CB3">
        <w:t xml:space="preserve"> 5, s početkom u </w:t>
      </w:r>
      <w:r w:rsidR="00DF3CB3" w:rsidRPr="00094D85">
        <w:rPr>
          <w:b/>
        </w:rPr>
        <w:t>11 sati</w:t>
      </w:r>
      <w:r w:rsidR="00DF3CB3">
        <w:t xml:space="preserve">. </w:t>
      </w:r>
    </w:p>
    <w:p w14:paraId="075B3D37" w14:textId="03C39E9A" w:rsidR="00795729" w:rsidRDefault="00094D85" w:rsidP="00795729">
      <w:pPr>
        <w:spacing w:before="240" w:after="120"/>
      </w:pPr>
      <w:r>
        <w:t xml:space="preserve">Pitanje osiguranja kvalitete nastave aktualno je od samih početaka visokoškolskog obrazovanja, a danas u vremenu digitalnog obrazovanja koje obuhvaća </w:t>
      </w:r>
      <w:r w:rsidR="00795729">
        <w:t>širok raspon digitalnih alata, tehnologija i resursa u cilju unaprjeđenja učenja</w:t>
      </w:r>
      <w:r>
        <w:t xml:space="preserve"> postaje još </w:t>
      </w:r>
      <w:r w:rsidR="009D6CD7">
        <w:t xml:space="preserve">i </w:t>
      </w:r>
      <w:r>
        <w:t>značajnije</w:t>
      </w:r>
      <w:r w:rsidR="0068169E">
        <w:t xml:space="preserve">. </w:t>
      </w:r>
      <w:r w:rsidR="00795729">
        <w:t xml:space="preserve">Iz aspekata osiguranja kvalitete, nastavne materijale nužno je promišljati u kontekstu otvorenog obrazovanja. Korištenjem otvorenih obrazovnih sadržaja u nastavi potiče se kvaliteta, transparentnost kao i kultura otvorenosti, te aktivno sudjelovanje studenata u izradi sadržaja </w:t>
      </w:r>
      <w:r w:rsidR="004526B3">
        <w:t xml:space="preserve">kolegija sukladno smjernicama </w:t>
      </w:r>
      <w:proofErr w:type="spellStart"/>
      <w:r w:rsidR="004526B3">
        <w:t>Bolonjskog</w:t>
      </w:r>
      <w:proofErr w:type="spellEnd"/>
      <w:r w:rsidR="004526B3">
        <w:t xml:space="preserve"> procesa</w:t>
      </w:r>
      <w:r w:rsidR="00795729">
        <w:t>. Tehnološka rješenja za pohranu i razmjenu digitalnih obrazovnih izvora već postoje, no izazov i dalje ostaju nastavnici koji često nisu dovoljno upoznati s time što su to otvoreni obrazovni sadržaji, kako svoje vlastite sadržaje mogu podijeliti, niti imaju informacije pod kojim su uvjetima obrazovni sadržaji drugih autora dostupni u otvorenom pristupu (ako su dostupni). Postavlja se pitanje na koje načine potaknuti nastavnike da te sadržaje oblikuju prema principima otvorenih obrazovnih sadržaja te ih razmjenjuju s drugim nastavnicima i studentima. Učinkovita ponovna iskoristivost otvorenih obrazovnih izvora iziskuje zato strateško planiranje, organizaciju, ali i obrazovanje nastavnika.</w:t>
      </w:r>
    </w:p>
    <w:p w14:paraId="52480C25" w14:textId="77777777" w:rsidR="00795729" w:rsidRDefault="00795729" w:rsidP="00795729">
      <w:pPr>
        <w:spacing w:before="240" w:after="120"/>
      </w:pPr>
      <w:r>
        <w:t xml:space="preserve">O ovim i mnogim drugim pitanjima vezanima uz otvorene obrazovne sadržaje raspravljat će </w:t>
      </w:r>
      <w:proofErr w:type="spellStart"/>
      <w:r>
        <w:t>panelisti</w:t>
      </w:r>
      <w:proofErr w:type="spellEnd"/>
      <w:r>
        <w:t xml:space="preserve">: prof. dr. sc. Mihaela </w:t>
      </w:r>
      <w:proofErr w:type="spellStart"/>
      <w:r>
        <w:t>Banek</w:t>
      </w:r>
      <w:proofErr w:type="spellEnd"/>
      <w:r>
        <w:t xml:space="preserve"> Zorica s Filozofskog fakulteta Sveučilišta u Zagrebu, mr. sc. Sandra Bezjak, pomoćnica ravnateljice za visoko obrazovanje u Agenciji za znanost i visoko obrazovanje, doc. dr. sc. Maja </w:t>
      </w:r>
      <w:proofErr w:type="spellStart"/>
      <w:r>
        <w:t>Gligora</w:t>
      </w:r>
      <w:proofErr w:type="spellEnd"/>
      <w:r>
        <w:t xml:space="preserve"> Marković, zamjenica predsjednika Povjerenstva za online učenje Sveučilišta u Rijeci s Medicinskog fakulteta Sveučilišta u Rijeci, prof. dr. sc. Renata </w:t>
      </w:r>
      <w:proofErr w:type="spellStart"/>
      <w:r>
        <w:t>Mekovec</w:t>
      </w:r>
      <w:proofErr w:type="spellEnd"/>
      <w:r>
        <w:t xml:space="preserve">, predsjednica Povjerenstva za osiguranje kvalitete na Fakultetu organizacije i informatike Sveučilišta u Zagrebu i dr. sc. </w:t>
      </w:r>
      <w:r>
        <w:lastRenderedPageBreak/>
        <w:t xml:space="preserve">Ana </w:t>
      </w:r>
      <w:proofErr w:type="spellStart"/>
      <w:r>
        <w:t>Tecilazić</w:t>
      </w:r>
      <w:proofErr w:type="spellEnd"/>
      <w:r>
        <w:t>, prorektorica za kvalitetu na Sveučilištu Algebra. Panel će moderirati doc. dr. sc. Sandra Kučina Softić, pomoćnica ravnatelja Srca.</w:t>
      </w:r>
    </w:p>
    <w:p w14:paraId="6BBBB29E" w14:textId="6C0B218B" w:rsidR="00094D85" w:rsidRDefault="00094D85" w:rsidP="00094D85">
      <w:pPr>
        <w:spacing w:before="240" w:after="120"/>
      </w:pPr>
      <w:proofErr w:type="spellStart"/>
      <w:r>
        <w:t>Panelisti</w:t>
      </w:r>
      <w:proofErr w:type="spellEnd"/>
      <w:r>
        <w:t xml:space="preserve"> će zajedno s okupljenim sudionicima raspravljati </w:t>
      </w:r>
      <w:r w:rsidR="00506301">
        <w:t>o</w:t>
      </w:r>
      <w:r w:rsidR="00F14591">
        <w:t xml:space="preserve"> tome kako osigurati kvalitetu nastave</w:t>
      </w:r>
      <w:r w:rsidR="004526B3">
        <w:t xml:space="preserve">, </w:t>
      </w:r>
      <w:r w:rsidR="00F14591">
        <w:t>koliko su uprave visokoškolskih ustanova i nastavnici upoznati i koriste otvorene obrazovne sadržaje</w:t>
      </w:r>
      <w:r w:rsidR="004526B3">
        <w:t>, u</w:t>
      </w:r>
      <w:r w:rsidR="00827AF5">
        <w:t xml:space="preserve"> kojoj mjeri promiču načela otvorenosti u obrazovnom procesu</w:t>
      </w:r>
      <w:r w:rsidR="004526B3">
        <w:t xml:space="preserve"> te koje je korake potrebno poduzeti da potičemo otvorenost i veću dostupnost kvalitetnih nastavnih materijala</w:t>
      </w:r>
      <w:r w:rsidR="00827AF5">
        <w:t>.</w:t>
      </w:r>
    </w:p>
    <w:p w14:paraId="0212D082" w14:textId="77777777" w:rsidR="0064599C" w:rsidRDefault="0064599C" w:rsidP="00094D85">
      <w:pPr>
        <w:spacing w:before="240" w:after="120"/>
        <w:rPr>
          <w:sz w:val="20"/>
        </w:rPr>
      </w:pPr>
    </w:p>
    <w:p w14:paraId="1AC05129" w14:textId="77777777" w:rsidR="00094D85" w:rsidRPr="00094D85" w:rsidRDefault="00094D85" w:rsidP="00094D85">
      <w:pPr>
        <w:spacing w:before="240" w:after="120"/>
        <w:rPr>
          <w:sz w:val="20"/>
        </w:rPr>
      </w:pPr>
      <w:r w:rsidRPr="00094D85">
        <w:rPr>
          <w:sz w:val="20"/>
        </w:rPr>
        <w:t>O Tjednu otvorenog obrazovanja</w:t>
      </w:r>
    </w:p>
    <w:p w14:paraId="5EF64BD0" w14:textId="2CE4290D" w:rsidR="00172C9A" w:rsidRPr="00094D85" w:rsidRDefault="00094D85" w:rsidP="00094D85">
      <w:pPr>
        <w:spacing w:before="240" w:after="120"/>
        <w:rPr>
          <w:sz w:val="20"/>
        </w:rPr>
      </w:pPr>
      <w:r w:rsidRPr="00094D85">
        <w:rPr>
          <w:sz w:val="20"/>
        </w:rPr>
        <w:t xml:space="preserve">Tjedan otvorenog obrazovanja globalna je inicijativa koja se organizira od 2012. godine s ciljem podizanja svijesti o važnosti otvorenog obrazovanja i njegovog utjecaja na suvremene načine učenja u cijelom svijetu. Srce u njoj aktivno sudjeluje već 10. godinu za redom. Srce već niz godina aktivno potiče sustavnu primjenu načela otvorenog obrazovanja, razvoj i primjenu otvorenih obrazovnih sadržaja i otvorenih obrazovnih praksi na ustanovama </w:t>
      </w:r>
      <w:r w:rsidR="003E55E2">
        <w:rPr>
          <w:sz w:val="20"/>
        </w:rPr>
        <w:t xml:space="preserve">u sustavu visokog obrazovanja. </w:t>
      </w:r>
      <w:bookmarkStart w:id="0" w:name="_GoBack"/>
      <w:bookmarkEnd w:id="0"/>
      <w:r w:rsidRPr="00094D85">
        <w:rPr>
          <w:sz w:val="20"/>
        </w:rPr>
        <w:t>Kao primjer i poticaj ostalima, obrazovni materijali Srca su javno objavljeni i u otvorenom pristupu. Srce također predvodi inicijative okupljanja zajednice kreatora otvorenih obrazovnih sadržaja, i otvorenog obrazovanja, sa željom da se studentima omogući najbolje i najkvalitetnije iskustvo učenja tijekom studija.</w:t>
      </w:r>
    </w:p>
    <w:p w14:paraId="5EF0BA0F" w14:textId="77777777" w:rsidR="00172C9A" w:rsidRDefault="00172C9A" w:rsidP="00172C9A">
      <w:pPr>
        <w:spacing w:before="240" w:after="120"/>
      </w:pPr>
    </w:p>
    <w:p w14:paraId="541EBFE5" w14:textId="77777777" w:rsidR="00172C9A" w:rsidRDefault="00172C9A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8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9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2D60" w14:textId="77777777" w:rsidR="00A4095B" w:rsidRDefault="00A4095B" w:rsidP="00F02EA6">
      <w:pPr>
        <w:spacing w:before="0" w:line="240" w:lineRule="auto"/>
      </w:pPr>
      <w:r>
        <w:separator/>
      </w:r>
    </w:p>
  </w:endnote>
  <w:endnote w:type="continuationSeparator" w:id="0">
    <w:p w14:paraId="24ABD562" w14:textId="77777777" w:rsidR="00A4095B" w:rsidRDefault="00A4095B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13C00810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3E55E2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77777777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094D85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A6AC" w14:textId="77777777" w:rsidR="00A4095B" w:rsidRDefault="00A4095B" w:rsidP="00F02EA6">
      <w:pPr>
        <w:spacing w:before="0" w:line="240" w:lineRule="auto"/>
      </w:pPr>
      <w:r>
        <w:separator/>
      </w:r>
    </w:p>
  </w:footnote>
  <w:footnote w:type="continuationSeparator" w:id="0">
    <w:p w14:paraId="5810FF44" w14:textId="77777777" w:rsidR="00A4095B" w:rsidRDefault="00A4095B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94D85"/>
    <w:rsid w:val="00096932"/>
    <w:rsid w:val="00102602"/>
    <w:rsid w:val="00140B6E"/>
    <w:rsid w:val="00172C9A"/>
    <w:rsid w:val="00190727"/>
    <w:rsid w:val="001A4A68"/>
    <w:rsid w:val="001B7B4A"/>
    <w:rsid w:val="001F2E0F"/>
    <w:rsid w:val="00235F13"/>
    <w:rsid w:val="002B5173"/>
    <w:rsid w:val="002F3C6F"/>
    <w:rsid w:val="00301F05"/>
    <w:rsid w:val="00303ED7"/>
    <w:rsid w:val="0035039F"/>
    <w:rsid w:val="00351F7C"/>
    <w:rsid w:val="00386606"/>
    <w:rsid w:val="003A4A8F"/>
    <w:rsid w:val="003A74C8"/>
    <w:rsid w:val="003E55E2"/>
    <w:rsid w:val="00405A11"/>
    <w:rsid w:val="004360E6"/>
    <w:rsid w:val="004526B3"/>
    <w:rsid w:val="004D3DA9"/>
    <w:rsid w:val="00506301"/>
    <w:rsid w:val="00513901"/>
    <w:rsid w:val="005723F3"/>
    <w:rsid w:val="00577DCF"/>
    <w:rsid w:val="00584462"/>
    <w:rsid w:val="005E70A4"/>
    <w:rsid w:val="00613FCF"/>
    <w:rsid w:val="0064599C"/>
    <w:rsid w:val="00681365"/>
    <w:rsid w:val="0068169E"/>
    <w:rsid w:val="006B1D8A"/>
    <w:rsid w:val="00705125"/>
    <w:rsid w:val="0071317C"/>
    <w:rsid w:val="00722B9A"/>
    <w:rsid w:val="00734597"/>
    <w:rsid w:val="0078188E"/>
    <w:rsid w:val="00784211"/>
    <w:rsid w:val="00794ECF"/>
    <w:rsid w:val="00795729"/>
    <w:rsid w:val="007C35C6"/>
    <w:rsid w:val="007C454E"/>
    <w:rsid w:val="007D7364"/>
    <w:rsid w:val="007E6EDE"/>
    <w:rsid w:val="0080375D"/>
    <w:rsid w:val="00805E80"/>
    <w:rsid w:val="00827AF5"/>
    <w:rsid w:val="00891C8E"/>
    <w:rsid w:val="008A12B0"/>
    <w:rsid w:val="008C4F2E"/>
    <w:rsid w:val="00911AE4"/>
    <w:rsid w:val="00946F7C"/>
    <w:rsid w:val="0096614F"/>
    <w:rsid w:val="009B77B5"/>
    <w:rsid w:val="009C0076"/>
    <w:rsid w:val="009D4AD4"/>
    <w:rsid w:val="009D6CD7"/>
    <w:rsid w:val="009E0DA3"/>
    <w:rsid w:val="009E7B0C"/>
    <w:rsid w:val="009F6C1F"/>
    <w:rsid w:val="00A4095B"/>
    <w:rsid w:val="00A53E94"/>
    <w:rsid w:val="00A9466C"/>
    <w:rsid w:val="00B12BA3"/>
    <w:rsid w:val="00B52DD0"/>
    <w:rsid w:val="00B62848"/>
    <w:rsid w:val="00BB5477"/>
    <w:rsid w:val="00BE417F"/>
    <w:rsid w:val="00C249D5"/>
    <w:rsid w:val="00C2619E"/>
    <w:rsid w:val="00CC172E"/>
    <w:rsid w:val="00CD3849"/>
    <w:rsid w:val="00CE7626"/>
    <w:rsid w:val="00D0640C"/>
    <w:rsid w:val="00D148F4"/>
    <w:rsid w:val="00D5358A"/>
    <w:rsid w:val="00D53BD2"/>
    <w:rsid w:val="00D53E5A"/>
    <w:rsid w:val="00D93F62"/>
    <w:rsid w:val="00DB3F87"/>
    <w:rsid w:val="00DF1FDD"/>
    <w:rsid w:val="00DF3CB3"/>
    <w:rsid w:val="00E4130B"/>
    <w:rsid w:val="00E660E6"/>
    <w:rsid w:val="00E717E9"/>
    <w:rsid w:val="00E932F9"/>
    <w:rsid w:val="00EA6757"/>
    <w:rsid w:val="00EB3967"/>
    <w:rsid w:val="00EC7A8E"/>
    <w:rsid w:val="00ED107C"/>
    <w:rsid w:val="00EF4FB6"/>
    <w:rsid w:val="00F02EA6"/>
    <w:rsid w:val="00F14591"/>
    <w:rsid w:val="00F24148"/>
    <w:rsid w:val="00F25564"/>
    <w:rsid w:val="00F277CD"/>
    <w:rsid w:val="00F41B76"/>
    <w:rsid w:val="00F677F0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chartTrackingRefBased/>
  <w15:docId w15:val="{00FBFD15-5B72-4FC2-A151-B5229DB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pressro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srce.h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8182-1803-41D8-8707-E0C83304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1</TotalTime>
  <Pages>2</Pages>
  <Words>517</Words>
  <Characters>3390</Characters>
  <Application>Microsoft Office Word</Application>
  <DocSecurity>0</DocSecurity>
  <Lines>58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2024-02-26T11:50:00Z</cp:lastPrinted>
  <dcterms:created xsi:type="dcterms:W3CDTF">2024-02-26T11:59:00Z</dcterms:created>
  <dcterms:modified xsi:type="dcterms:W3CDTF">2024-02-26T11:59:00Z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